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AE" w:rsidRDefault="005C586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意外伤害住院办理流程</w:t>
      </w:r>
    </w:p>
    <w:p w:rsidR="00482CAE" w:rsidRDefault="00482CAE">
      <w:pPr>
        <w:widowControl/>
        <w:jc w:val="left"/>
        <w:rPr>
          <w:b/>
          <w:sz w:val="48"/>
          <w:szCs w:val="48"/>
        </w:rPr>
      </w:pPr>
    </w:p>
    <w:tbl>
      <w:tblPr>
        <w:tblpPr w:leftFromText="180" w:rightFromText="180" w:vertAnchor="text" w:horzAnchor="margin" w:tblpY="1298"/>
        <w:tblW w:w="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</w:tblGrid>
      <w:tr w:rsidR="00482CAE">
        <w:trPr>
          <w:cantSplit/>
          <w:trHeight w:val="2900"/>
        </w:trPr>
        <w:tc>
          <w:tcPr>
            <w:tcW w:w="2417" w:type="dxa"/>
          </w:tcPr>
          <w:p w:rsidR="00482CAE" w:rsidRDefault="005C586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填写《</w:t>
            </w:r>
            <w:r>
              <w:rPr>
                <w:rFonts w:hint="eastAsia"/>
                <w:color w:val="FF0000"/>
                <w:sz w:val="30"/>
                <w:szCs w:val="30"/>
              </w:rPr>
              <w:t>黄山市基本医疗保险意外伤害登记表</w:t>
            </w:r>
            <w:r>
              <w:rPr>
                <w:rFonts w:hint="eastAsia"/>
                <w:sz w:val="30"/>
                <w:szCs w:val="30"/>
              </w:rPr>
              <w:t>》</w:t>
            </w:r>
          </w:p>
        </w:tc>
      </w:tr>
    </w:tbl>
    <w:p w:rsidR="00482CAE" w:rsidRDefault="00482CAE">
      <w:pPr>
        <w:widowControl/>
        <w:ind w:firstLineChars="900" w:firstLine="1890"/>
        <w:jc w:val="left"/>
        <w:rPr>
          <w:b/>
          <w:sz w:val="48"/>
          <w:szCs w:val="48"/>
        </w:rPr>
      </w:pPr>
      <w:r w:rsidRPr="00482CAE">
        <w:pict>
          <v:rect id="_x0000_s1026" style="position:absolute;left:0;text-align:left;margin-left:220pt;margin-top:39.8pt;width:217pt;height:96pt;z-index:1;mso-position-horizontal-relative:text;mso-position-vertical-relative:text">
            <v:textbox>
              <w:txbxContent>
                <w:p w:rsidR="00482CAE" w:rsidRDefault="005C586D">
                  <w:pPr>
                    <w:spacing w:line="5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患者或家属填写意外伤害的详细经过（时间、地点、原因、证人等）</w:t>
                  </w:r>
                </w:p>
              </w:txbxContent>
            </v:textbox>
          </v:rect>
        </w:pict>
      </w:r>
      <w:r w:rsidR="005C586D">
        <w:rPr>
          <w:b/>
          <w:sz w:val="48"/>
          <w:szCs w:val="48"/>
        </w:rPr>
        <w:br/>
      </w:r>
    </w:p>
    <w:p w:rsidR="00482CAE" w:rsidRDefault="00482CAE">
      <w:pPr>
        <w:widowControl/>
        <w:jc w:val="left"/>
        <w:rPr>
          <w:b/>
          <w:sz w:val="48"/>
          <w:szCs w:val="48"/>
        </w:rPr>
      </w:pPr>
      <w:r w:rsidRPr="00482CAE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63.35pt;margin-top:.4pt;width:22pt;height:196pt;z-index:2"/>
        </w:pict>
      </w:r>
    </w:p>
    <w:p w:rsidR="00482CAE" w:rsidRDefault="00482CAE">
      <w:pPr>
        <w:widowControl/>
        <w:jc w:val="left"/>
        <w:rPr>
          <w:b/>
          <w:sz w:val="48"/>
          <w:szCs w:val="48"/>
        </w:rPr>
      </w:pPr>
    </w:p>
    <w:p w:rsidR="00482CAE" w:rsidRDefault="00482CAE">
      <w:pPr>
        <w:widowControl/>
        <w:tabs>
          <w:tab w:val="left" w:pos="1840"/>
          <w:tab w:val="left" w:pos="2140"/>
          <w:tab w:val="left" w:pos="3460"/>
          <w:tab w:val="left" w:pos="3494"/>
          <w:tab w:val="left" w:pos="4040"/>
        </w:tabs>
        <w:jc w:val="left"/>
        <w:rPr>
          <w:b/>
          <w:sz w:val="48"/>
          <w:szCs w:val="48"/>
        </w:rPr>
      </w:pPr>
      <w:r w:rsidRPr="00482CAE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2.65pt;margin-top:16pt;width:60pt;height:36.85pt;z-index:3"/>
        </w:pict>
      </w:r>
      <w:r w:rsidRPr="00482C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4.35pt;margin-top:16pt;width:.05pt;height:.05pt;z-index:4" o:connectortype="straight">
            <v:stroke endarrow="block"/>
          </v:shape>
        </w:pict>
      </w:r>
      <w:r w:rsidR="005C586D">
        <w:rPr>
          <w:b/>
          <w:sz w:val="48"/>
          <w:szCs w:val="48"/>
        </w:rPr>
        <w:tab/>
      </w:r>
      <w:r w:rsidR="005C586D">
        <w:rPr>
          <w:b/>
          <w:sz w:val="48"/>
          <w:szCs w:val="48"/>
        </w:rPr>
        <w:tab/>
      </w:r>
      <w:r w:rsidR="005C586D">
        <w:rPr>
          <w:b/>
          <w:sz w:val="48"/>
          <w:szCs w:val="48"/>
        </w:rPr>
        <w:tab/>
      </w:r>
    </w:p>
    <w:p w:rsidR="00482CAE" w:rsidRDefault="00482CAE">
      <w:pPr>
        <w:rPr>
          <w:sz w:val="48"/>
          <w:szCs w:val="48"/>
        </w:rPr>
      </w:pPr>
      <w:r w:rsidRPr="00482CAE">
        <w:pict>
          <v:rect id="_x0000_s1030" style="position:absolute;left:0;text-align:left;margin-left:97.35pt;margin-top:1.8pt;width:217pt;height:67.9pt;z-index:5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经治医生须问清意外伤害起因并如实填写病情简介和诊断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4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</w:tblGrid>
      <w:tr w:rsidR="00482CAE">
        <w:trPr>
          <w:trHeight w:val="2348"/>
        </w:trPr>
        <w:tc>
          <w:tcPr>
            <w:tcW w:w="2214" w:type="dxa"/>
          </w:tcPr>
          <w:p w:rsidR="00482CAE" w:rsidRDefault="005C586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 w:val="30"/>
                <w:szCs w:val="30"/>
              </w:rPr>
              <w:t>符合医保支付范围的在医疗机构直接进行结算</w:t>
            </w:r>
          </w:p>
        </w:tc>
      </w:tr>
    </w:tbl>
    <w:p w:rsidR="00482CAE" w:rsidRDefault="00482CAE">
      <w:pPr>
        <w:jc w:val="center"/>
        <w:rPr>
          <w:sz w:val="48"/>
          <w:szCs w:val="48"/>
        </w:rPr>
      </w:pPr>
      <w:r w:rsidRPr="00482CAE">
        <w:pict>
          <v:shape id="_x0000_s1031" type="#_x0000_t32" style="position:absolute;left:0;text-align:left;margin-left:189.35pt;margin-top:117.6pt;width:49pt;height:98pt;z-index:6;mso-position-horizontal-relative:text;mso-position-vertical-relative:text" o:connectortype="straight">
            <v:stroke endarrow="block"/>
          </v:shape>
        </w:pict>
      </w:r>
      <w:r w:rsidRPr="00482CAE">
        <w:pict>
          <v:shape id="_x0000_s1032" type="#_x0000_t32" style="position:absolute;left:0;text-align:left;margin-left:85.35pt;margin-top:112.6pt;width:94pt;height:92pt;flip:x;z-index:7;mso-position-horizontal-relative:text;mso-position-vertical-relative:text" o:connectortype="straight">
            <v:stroke endarrow="block"/>
          </v:shape>
        </w:pict>
      </w:r>
      <w:r w:rsidRPr="00482CAE">
        <w:pict>
          <v:shape id="_x0000_s1033" type="#_x0000_t32" style="position:absolute;left:0;text-align:left;margin-left:-65.65pt;margin-top:106.6pt;width:233pt;height:98pt;flip:x;z-index:8;mso-position-horizontal-relative:text;mso-position-vertical-relative:text" o:connectortype="straight">
            <v:stroke endarrow="block"/>
          </v:shape>
        </w:pict>
      </w:r>
      <w:r w:rsidRPr="00482CAE">
        <w:pict>
          <v:rect id="_x0000_s1034" style="position:absolute;left:0;text-align:left;margin-left:155.35pt;margin-top:220.6pt;width:202pt;height:129pt;z-index:9;mso-position-horizontal-relative:text;mso-position-vertical-relative:text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无法明确判断是否属于医保支付范围的，报医保经办机构调查后，再决定是否给予报销</w:t>
                  </w:r>
                </w:p>
              </w:txbxContent>
            </v:textbox>
          </v:rect>
        </w:pict>
      </w:r>
      <w:r w:rsidRPr="00482CAE">
        <w:pict>
          <v:rect id="_x0000_s1035" style="position:absolute;left:0;text-align:left;margin-left:24.35pt;margin-top:220.6pt;width:102pt;height:129pt;z-index:10;mso-position-horizontal-relative:text;mso-position-vertical-relative:text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不符合医保支付范围的基金不予支付</w:t>
                  </w:r>
                </w:p>
              </w:txbxContent>
            </v:textbox>
          </v:rect>
        </w:pict>
      </w:r>
      <w:r w:rsidRPr="00482CAE">
        <w:pict>
          <v:rect id="_x0000_s1036" style="position:absolute;left:0;text-align:left;margin-left:97.35pt;margin-top:57.6pt;width:217pt;height:35pt;z-index:11;mso-position-horizontal-relative:text;mso-position-vertical-relative:text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医疗机构医保办进行核实</w:t>
                  </w:r>
                </w:p>
              </w:txbxContent>
            </v:textbox>
          </v:rect>
        </w:pict>
      </w:r>
    </w:p>
    <w:p w:rsidR="00482CAE" w:rsidRDefault="005C586D">
      <w:pPr>
        <w:widowControl/>
        <w:ind w:firstLineChars="100" w:firstLine="480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rFonts w:hint="eastAsia"/>
          <w:b/>
          <w:sz w:val="48"/>
          <w:szCs w:val="48"/>
        </w:rPr>
        <w:lastRenderedPageBreak/>
        <w:t>转诊转院办理流程</w:t>
      </w:r>
    </w:p>
    <w:p w:rsidR="00482CAE" w:rsidRDefault="00482CAE">
      <w:pPr>
        <w:jc w:val="center"/>
        <w:rPr>
          <w:b/>
          <w:sz w:val="48"/>
          <w:szCs w:val="48"/>
        </w:rPr>
      </w:pPr>
      <w:r w:rsidRPr="00482CAE">
        <w:pict>
          <v:rect id="_x0000_s1037" style="position:absolute;left:0;text-align:left;margin-left:25pt;margin-top:28.8pt;width:354pt;height:36pt;z-index:12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填写《</w:t>
                  </w:r>
                  <w:r>
                    <w:rPr>
                      <w:rFonts w:hint="eastAsia"/>
                      <w:color w:val="FF0000"/>
                      <w:sz w:val="30"/>
                      <w:szCs w:val="30"/>
                    </w:rPr>
                    <w:t>黄山市基本医疗保险转诊转院备案表</w:t>
                  </w:r>
                  <w:r>
                    <w:rPr>
                      <w:rFonts w:hint="eastAsia"/>
                      <w:sz w:val="30"/>
                      <w:szCs w:val="30"/>
                    </w:rPr>
                    <w:t>》</w:t>
                  </w:r>
                </w:p>
              </w:txbxContent>
            </v:textbox>
          </v:rect>
        </w:pict>
      </w:r>
    </w:p>
    <w:p w:rsidR="00482CAE" w:rsidRDefault="00482CAE">
      <w:pPr>
        <w:jc w:val="center"/>
        <w:rPr>
          <w:b/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  <w:r w:rsidRPr="00482CAE">
        <w:pict>
          <v:shape id="_x0000_s1038" type="#_x0000_t13" style="position:absolute;left:0;text-align:left;margin-left:169pt;margin-top:40.4pt;width:60pt;height:36.85pt;rotation:90;z-index:13"/>
        </w:pict>
      </w: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jc w:val="center"/>
        <w:rPr>
          <w:sz w:val="48"/>
          <w:szCs w:val="48"/>
        </w:rPr>
      </w:pPr>
      <w:r w:rsidRPr="00482CAE">
        <w:pict>
          <v:shape id="_x0000_s1039" type="#_x0000_t87" style="position:absolute;left:0;text-align:left;margin-left:182.1pt;margin-top:-180.2pt;width:32pt;height:402pt;rotation:90;z-index:14" adj=",10799"/>
        </w:pict>
      </w:r>
    </w:p>
    <w:p w:rsidR="00482CAE" w:rsidRDefault="00482CAE">
      <w:pPr>
        <w:rPr>
          <w:sz w:val="48"/>
          <w:szCs w:val="48"/>
        </w:rPr>
      </w:pPr>
      <w:r w:rsidRPr="00482C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17.4pt;margin-top:15.4pt;width:98.45pt;height:222pt;z-index:15">
            <v:textbox>
              <w:txbxContent>
                <w:p w:rsidR="00482CAE" w:rsidRDefault="005C586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医疗机构医保办审核后，将转诊转院备案表发送给参保人员所属医保经办机构</w:t>
                  </w:r>
                </w:p>
              </w:txbxContent>
            </v:textbox>
          </v:shape>
        </w:pict>
      </w:r>
      <w:r w:rsidRPr="00482CAE">
        <w:pict>
          <v:rect id="_x0000_s1040" style="position:absolute;left:0;text-align:left;margin-left:378pt;margin-top:15.6pt;width:93pt;height:137pt;z-index:16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所属医保经办机构将信息录入异地就医系统</w:t>
                  </w: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功</w:t>
                  </w:r>
                </w:p>
              </w:txbxContent>
            </v:textbox>
          </v:rect>
        </w:pict>
      </w:r>
      <w:r w:rsidRPr="00482CAE">
        <w:pict>
          <v:shape id="_x0000_s1042" type="#_x0000_t202" style="position:absolute;left:0;text-align:left;margin-left:93pt;margin-top:15.4pt;width:62pt;height:112pt;z-index:17">
            <v:textbox>
              <w:txbxContent>
                <w:p w:rsidR="00482CAE" w:rsidRDefault="005C586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科室主任签署意见</w:t>
                  </w:r>
                </w:p>
              </w:txbxContent>
            </v:textbox>
          </v:shape>
        </w:pict>
      </w:r>
      <w:r w:rsidRPr="00482CAE">
        <w:pict>
          <v:shape id="_x0000_s1043" type="#_x0000_t202" style="position:absolute;left:0;text-align:left;margin-left:-65pt;margin-top:14.6pt;width:97pt;height:136pt;z-index:18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经治医生填写“病情摘要”、“转诊理由”</w:t>
                  </w:r>
                </w:p>
              </w:txbxContent>
            </v:textbox>
          </v:shape>
        </w:pict>
      </w:r>
    </w:p>
    <w:p w:rsidR="00482CAE" w:rsidRDefault="00482CAE"/>
    <w:p w:rsidR="00482CAE" w:rsidRDefault="00482CAE">
      <w:pPr>
        <w:rPr>
          <w:sz w:val="48"/>
          <w:szCs w:val="48"/>
        </w:rPr>
      </w:pPr>
    </w:p>
    <w:p w:rsidR="00482CAE" w:rsidRDefault="00482CAE">
      <w:pPr>
        <w:tabs>
          <w:tab w:val="left" w:pos="540"/>
          <w:tab w:val="left" w:pos="720"/>
          <w:tab w:val="left" w:pos="960"/>
          <w:tab w:val="center" w:pos="4153"/>
        </w:tabs>
        <w:jc w:val="left"/>
        <w:rPr>
          <w:sz w:val="48"/>
          <w:szCs w:val="48"/>
        </w:rPr>
      </w:pPr>
      <w:r w:rsidRPr="00482CAE">
        <w:pict>
          <v:shape id="_x0000_s1044" type="#_x0000_t32" style="position:absolute;margin-left:164.6pt;margin-top:6.6pt;width:46.05pt;height:0;z-index:19" o:connectortype="straight">
            <v:stroke endarrow="block"/>
          </v:shape>
        </w:pict>
      </w:r>
      <w:r w:rsidRPr="00482CAE">
        <w:pict>
          <v:shape id="_x0000_s1045" type="#_x0000_t32" style="position:absolute;margin-left:320.95pt;margin-top:6.6pt;width:46.05pt;height:0;z-index:20" o:connectortype="straight">
            <v:stroke endarrow="block"/>
          </v:shape>
        </w:pict>
      </w:r>
      <w:r w:rsidRPr="00482CAE">
        <w:pict>
          <v:shape id="_x0000_s1046" type="#_x0000_t32" style="position:absolute;margin-left:41pt;margin-top:6.6pt;width:46.05pt;height:0;z-index:21" o:connectortype="straight">
            <v:stroke endarrow="block"/>
          </v:shape>
        </w:pict>
      </w:r>
      <w:r w:rsidR="005C586D">
        <w:rPr>
          <w:sz w:val="48"/>
          <w:szCs w:val="48"/>
        </w:rPr>
        <w:tab/>
      </w:r>
      <w:r w:rsidR="005C586D">
        <w:rPr>
          <w:sz w:val="48"/>
          <w:szCs w:val="48"/>
        </w:rPr>
        <w:tab/>
      </w:r>
      <w:r w:rsidR="005C586D">
        <w:rPr>
          <w:sz w:val="48"/>
          <w:szCs w:val="48"/>
        </w:rPr>
        <w:tab/>
      </w:r>
      <w:r w:rsidR="005C586D">
        <w:rPr>
          <w:sz w:val="48"/>
          <w:szCs w:val="48"/>
        </w:rPr>
        <w:tab/>
      </w:r>
      <w:r w:rsidRPr="00482CAE">
        <w:pict>
          <v:shape id="_x0000_s1047" type="#_x0000_t32" style="position:absolute;margin-left:51pt;margin-top:27.4pt;width:.05pt;height:.05pt;z-index:22;mso-position-horizontal-relative:text;mso-position-vertical-relative:text" o:connectortype="straight">
            <v:stroke endarrow="block"/>
          </v:shape>
        </w:pict>
      </w: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</w:p>
    <w:p w:rsidR="00482CAE" w:rsidRDefault="005C586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危急重症病人因病情原因未能及时办理的，须在住院后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各工作日内补办手续，否则按未转院处理。</w:t>
      </w:r>
    </w:p>
    <w:p w:rsidR="00482CAE" w:rsidRDefault="005C586D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一个自然年度内</w:t>
      </w:r>
      <w:r>
        <w:rPr>
          <w:rFonts w:hint="eastAsia"/>
          <w:color w:val="FF0000"/>
          <w:sz w:val="30"/>
          <w:szCs w:val="30"/>
        </w:rPr>
        <w:t>同一种疾病</w:t>
      </w:r>
      <w:r>
        <w:rPr>
          <w:rFonts w:hint="eastAsia"/>
          <w:sz w:val="30"/>
          <w:szCs w:val="30"/>
        </w:rPr>
        <w:t>在同一家医院住院，只办</w:t>
      </w:r>
      <w:r>
        <w:rPr>
          <w:rFonts w:hint="eastAsia"/>
          <w:color w:val="FF0000"/>
          <w:sz w:val="30"/>
          <w:szCs w:val="30"/>
        </w:rPr>
        <w:t>（首次）</w:t>
      </w:r>
      <w:r>
        <w:rPr>
          <w:rFonts w:hint="eastAsia"/>
          <w:sz w:val="30"/>
          <w:szCs w:val="30"/>
        </w:rPr>
        <w:t>一次转院手续即可，</w:t>
      </w:r>
      <w:r>
        <w:rPr>
          <w:rFonts w:hint="eastAsia"/>
          <w:color w:val="FF0000"/>
          <w:sz w:val="30"/>
          <w:szCs w:val="30"/>
        </w:rPr>
        <w:t>再去</w:t>
      </w:r>
      <w:r>
        <w:rPr>
          <w:rFonts w:hint="eastAsia"/>
          <w:sz w:val="30"/>
          <w:szCs w:val="30"/>
        </w:rPr>
        <w:t>可直接电话备案。</w:t>
      </w:r>
    </w:p>
    <w:p w:rsidR="00482CAE" w:rsidRDefault="005C586D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原则上应逐级转诊转院，转外</w:t>
      </w:r>
      <w:r>
        <w:rPr>
          <w:rFonts w:hint="eastAsia"/>
          <w:color w:val="FF0000"/>
          <w:sz w:val="30"/>
          <w:szCs w:val="30"/>
        </w:rPr>
        <w:t>就诊医院必须是：</w:t>
      </w:r>
      <w:r>
        <w:rPr>
          <w:rFonts w:hint="eastAsia"/>
          <w:sz w:val="30"/>
          <w:szCs w:val="30"/>
        </w:rPr>
        <w:t>综合医院应为三级，专科医院应为二级及以上。</w:t>
      </w:r>
    </w:p>
    <w:p w:rsidR="00482CAE" w:rsidRDefault="00482CAE">
      <w:pPr>
        <w:jc w:val="center"/>
        <w:rPr>
          <w:b/>
          <w:sz w:val="32"/>
          <w:szCs w:val="32"/>
        </w:rPr>
      </w:pPr>
    </w:p>
    <w:p w:rsidR="00482CAE" w:rsidRDefault="005C58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异地安置</w:t>
      </w:r>
      <w:r>
        <w:rPr>
          <w:rFonts w:hint="eastAsia"/>
          <w:sz w:val="32"/>
          <w:szCs w:val="32"/>
        </w:rPr>
        <w:t>（长居、常驻外地工作）</w:t>
      </w:r>
      <w:r>
        <w:rPr>
          <w:rFonts w:hint="eastAsia"/>
          <w:b/>
          <w:sz w:val="44"/>
          <w:szCs w:val="44"/>
        </w:rPr>
        <w:t>备案流程</w:t>
      </w:r>
    </w:p>
    <w:p w:rsidR="00482CAE" w:rsidRDefault="00482CAE">
      <w:pPr>
        <w:jc w:val="left"/>
        <w:rPr>
          <w:b/>
          <w:sz w:val="32"/>
          <w:szCs w:val="32"/>
        </w:rPr>
      </w:pPr>
    </w:p>
    <w:p w:rsidR="00482CAE" w:rsidRDefault="005C586D">
      <w:pPr>
        <w:ind w:firstLineChars="196" w:firstLine="630"/>
        <w:jc w:val="left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rFonts w:hint="eastAsia"/>
          <w:b/>
          <w:sz w:val="32"/>
          <w:szCs w:val="32"/>
        </w:rPr>
        <w:t>符合办理异地安置的条件：</w:t>
      </w:r>
      <w:r>
        <w:rPr>
          <w:rFonts w:hint="eastAsia"/>
          <w:sz w:val="32"/>
          <w:szCs w:val="32"/>
        </w:rPr>
        <w:t>退休异地安置、长期居住外地、常驻外地工作的黄山市参保人员。</w:t>
      </w:r>
    </w:p>
    <w:p w:rsidR="00482CAE" w:rsidRDefault="005C586D">
      <w:pPr>
        <w:ind w:firstLineChars="196" w:firstLine="630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rFonts w:hint="eastAsia"/>
          <w:sz w:val="32"/>
          <w:szCs w:val="32"/>
        </w:rPr>
        <w:t>填写《黄山市医疗保险异地安置（长居、常驻外地工作）</w:t>
      </w:r>
      <w:r>
        <w:rPr>
          <w:rFonts w:hint="eastAsia"/>
          <w:color w:val="FF0000"/>
          <w:sz w:val="32"/>
          <w:szCs w:val="32"/>
        </w:rPr>
        <w:t>备案</w:t>
      </w:r>
      <w:r>
        <w:rPr>
          <w:rFonts w:hint="eastAsia"/>
          <w:sz w:val="32"/>
          <w:szCs w:val="32"/>
        </w:rPr>
        <w:t>登记表》，医保中心工作人员录入系统，</w:t>
      </w:r>
      <w:r>
        <w:rPr>
          <w:rFonts w:hint="eastAsia"/>
          <w:b/>
          <w:sz w:val="32"/>
          <w:szCs w:val="32"/>
        </w:rPr>
        <w:t>即时办理，即时生效</w:t>
      </w:r>
      <w:r>
        <w:rPr>
          <w:rFonts w:hint="eastAsia"/>
          <w:sz w:val="32"/>
          <w:szCs w:val="32"/>
        </w:rPr>
        <w:t>。</w:t>
      </w:r>
    </w:p>
    <w:p w:rsidR="00482CAE" w:rsidRDefault="005C586D">
      <w:pPr>
        <w:ind w:firstLineChars="196" w:firstLine="63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rFonts w:hint="eastAsia"/>
          <w:b/>
          <w:sz w:val="32"/>
          <w:szCs w:val="32"/>
        </w:rPr>
        <w:t>已办理异地安置</w:t>
      </w:r>
      <w:r>
        <w:rPr>
          <w:rFonts w:hint="eastAsia"/>
          <w:sz w:val="32"/>
          <w:szCs w:val="32"/>
        </w:rPr>
        <w:t>（长居、常驻外地工作）</w:t>
      </w:r>
      <w:r>
        <w:rPr>
          <w:rFonts w:hint="eastAsia"/>
          <w:b/>
          <w:sz w:val="32"/>
          <w:szCs w:val="32"/>
        </w:rPr>
        <w:t>的人员如何就医：</w:t>
      </w:r>
    </w:p>
    <w:p w:rsidR="00482CAE" w:rsidRDefault="005C58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①在黄山市本地住院参照转院待遇，可直接持本人社保卡直接结算（个人需自付</w:t>
      </w:r>
      <w:r>
        <w:rPr>
          <w:sz w:val="32"/>
          <w:szCs w:val="32"/>
        </w:rPr>
        <w:t>10%</w:t>
      </w:r>
      <w:r>
        <w:rPr>
          <w:rFonts w:hint="eastAsia"/>
          <w:sz w:val="32"/>
          <w:szCs w:val="32"/>
        </w:rPr>
        <w:t>）；</w:t>
      </w:r>
    </w:p>
    <w:p w:rsidR="00482CAE" w:rsidRDefault="005C58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②在备案地住院，任选当地定点医疗机构均可。</w:t>
      </w:r>
    </w:p>
    <w:p w:rsidR="00482CAE" w:rsidRDefault="005C58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③在上述两地以外的城市住院，可在备案</w:t>
      </w:r>
      <w:r>
        <w:rPr>
          <w:rFonts w:hint="eastAsia"/>
          <w:sz w:val="32"/>
          <w:szCs w:val="32"/>
        </w:rPr>
        <w:t>地定点医疗机构办理转诊转院手续后电话备案。</w:t>
      </w:r>
    </w:p>
    <w:p w:rsidR="00482CAE" w:rsidRDefault="005C586D">
      <w:pPr>
        <w:ind w:firstLineChars="147" w:firstLine="472"/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rFonts w:hint="eastAsia"/>
          <w:sz w:val="32"/>
          <w:szCs w:val="32"/>
        </w:rPr>
        <w:t>异地安置、长居异地、常驻异地工作备案变更时限不少于一年。</w:t>
      </w:r>
    </w:p>
    <w:p w:rsidR="00482CAE" w:rsidRDefault="005C586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82CAE" w:rsidRDefault="005C58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异地就医费用结算（报销）流程</w:t>
      </w:r>
    </w:p>
    <w:p w:rsidR="00482CAE" w:rsidRDefault="00482CAE">
      <w:pPr>
        <w:ind w:firstLineChars="147" w:firstLine="472"/>
        <w:rPr>
          <w:b/>
          <w:sz w:val="32"/>
          <w:szCs w:val="32"/>
        </w:rPr>
      </w:pPr>
    </w:p>
    <w:p w:rsidR="00482CAE" w:rsidRDefault="005C586D">
      <w:pPr>
        <w:ind w:firstLineChars="147" w:firstLine="472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rFonts w:hint="eastAsia"/>
          <w:sz w:val="32"/>
          <w:szCs w:val="32"/>
        </w:rPr>
        <w:t>在接入异地就医直接结算平台的定点医疗机构住院，可持本人社保卡（身份证）办理入院手续，出院时直接结算；</w:t>
      </w:r>
    </w:p>
    <w:p w:rsidR="00482CAE" w:rsidRDefault="005C586D">
      <w:pPr>
        <w:ind w:firstLineChars="147" w:firstLine="472"/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rFonts w:hint="eastAsia"/>
          <w:sz w:val="32"/>
          <w:szCs w:val="32"/>
        </w:rPr>
        <w:t>在未开通直接结算的定点医疗机构住院，出院后携带</w:t>
      </w:r>
      <w:r w:rsidRPr="004B227E">
        <w:rPr>
          <w:rFonts w:hint="eastAsia"/>
          <w:b/>
          <w:sz w:val="32"/>
          <w:szCs w:val="32"/>
        </w:rPr>
        <w:t>发票原件、费用清单原件、出院小结</w:t>
      </w:r>
      <w:r>
        <w:rPr>
          <w:rFonts w:hint="eastAsia"/>
          <w:sz w:val="32"/>
          <w:szCs w:val="32"/>
        </w:rPr>
        <w:t>到参保地医保经办机构报销，报销费用拨付至参保人的</w:t>
      </w:r>
      <w:r>
        <w:rPr>
          <w:rFonts w:hint="eastAsia"/>
          <w:color w:val="FF0000"/>
          <w:sz w:val="32"/>
          <w:szCs w:val="32"/>
        </w:rPr>
        <w:t>社会保障卡银行帐号或本人提供的其它银行号。</w:t>
      </w:r>
      <w:r>
        <w:rPr>
          <w:sz w:val="32"/>
          <w:szCs w:val="32"/>
        </w:rPr>
        <w:br w:type="page"/>
      </w:r>
    </w:p>
    <w:p w:rsidR="00482CAE" w:rsidRDefault="005C586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特殊药品使用审批流程</w:t>
      </w:r>
    </w:p>
    <w:p w:rsidR="00482CAE" w:rsidRDefault="00482CAE">
      <w:pPr>
        <w:jc w:val="center"/>
        <w:rPr>
          <w:b/>
          <w:sz w:val="48"/>
          <w:szCs w:val="48"/>
        </w:rPr>
      </w:pPr>
    </w:p>
    <w:p w:rsidR="00482CAE" w:rsidRDefault="00482CAE">
      <w:pPr>
        <w:jc w:val="center"/>
        <w:rPr>
          <w:b/>
          <w:sz w:val="48"/>
          <w:szCs w:val="48"/>
        </w:rPr>
      </w:pPr>
      <w:r w:rsidRPr="00482CAE">
        <w:pict>
          <v:shape id="_x0000_s1048" type="#_x0000_t202" style="position:absolute;left:0;text-align:left;margin-left:21pt;margin-top:8.6pt;width:372pt;height:42pt;z-index:23">
            <v:textbox>
              <w:txbxContent>
                <w:p w:rsidR="00482CAE" w:rsidRDefault="005C586D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填写《黄山市基本医疗保险特殊药品使用申请表》</w:t>
                  </w:r>
                </w:p>
              </w:txbxContent>
            </v:textbox>
          </v:shape>
        </w:pict>
      </w:r>
    </w:p>
    <w:p w:rsidR="00482CAE" w:rsidRDefault="00482CAE">
      <w:pPr>
        <w:widowControl/>
        <w:jc w:val="left"/>
        <w:rPr>
          <w:sz w:val="30"/>
          <w:szCs w:val="30"/>
        </w:rPr>
      </w:pPr>
    </w:p>
    <w:p w:rsidR="00482CAE" w:rsidRDefault="00482CAE">
      <w:pPr>
        <w:jc w:val="center"/>
        <w:rPr>
          <w:b/>
          <w:sz w:val="32"/>
          <w:szCs w:val="32"/>
        </w:rPr>
      </w:pPr>
      <w:r w:rsidRPr="00482CAE">
        <w:pict>
          <v:shape id="_x0000_s1049" type="#_x0000_t32" style="position:absolute;left:0;text-align:left;margin-left:214.4pt;margin-top:207.2pt;width:30pt;height:0;z-index:24" o:connectortype="straight">
            <v:stroke endarrow="block"/>
          </v:shape>
        </w:pict>
      </w:r>
      <w:r w:rsidRPr="00482CAE">
        <w:pict>
          <v:shape id="_x0000_s1050" type="#_x0000_t202" style="position:absolute;left:0;text-align:left;margin-left:255pt;margin-top:125.2pt;width:76pt;height:165pt;z-index:25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患者家属知晓情况，签署意见</w:t>
                  </w:r>
                </w:p>
              </w:txbxContent>
            </v:textbox>
          </v:shape>
        </w:pict>
      </w:r>
      <w:r w:rsidRPr="00482CAE">
        <w:pict>
          <v:shape id="_x0000_s1051" type="#_x0000_t32" style="position:absolute;left:0;text-align:left;margin-left:348pt;margin-top:207.2pt;width:30pt;height:0;z-index:26" o:connectortype="straight">
            <v:stroke endarrow="block"/>
          </v:shape>
        </w:pict>
      </w:r>
      <w:r w:rsidRPr="00482CAE">
        <w:pict>
          <v:shape id="_x0000_s1052" type="#_x0000_t202" style="position:absolute;left:0;text-align:left;margin-left:393pt;margin-top:131.2pt;width:76pt;height:165pt;z-index:27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医院医保办根据相关文件要求，进行审批</w:t>
                  </w:r>
                </w:p>
              </w:txbxContent>
            </v:textbox>
          </v:shape>
        </w:pict>
      </w:r>
      <w:r w:rsidRPr="00482CAE">
        <w:pict>
          <v:shape id="_x0000_s1053" type="#_x0000_t32" style="position:absolute;left:0;text-align:left;margin-left:77pt;margin-top:207.2pt;width:30pt;height:0;z-index:28" o:connectortype="straight">
            <v:stroke endarrow="block"/>
          </v:shape>
        </w:pict>
      </w:r>
      <w:r w:rsidRPr="00482CAE">
        <w:pict>
          <v:shape id="_x0000_s1054" type="#_x0000_t202" style="position:absolute;left:0;text-align:left;margin-left:-53pt;margin-top:120.2pt;width:123pt;height:170pt;z-index:29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经治医生填写“病情简介”，判断患者是否符合特殊药品“限定支付范围”</w:t>
                  </w:r>
                </w:p>
              </w:txbxContent>
            </v:textbox>
          </v:shape>
        </w:pict>
      </w:r>
      <w:r w:rsidRPr="00482CAE">
        <w:pict>
          <v:shape id="_x0000_s1055" type="#_x0000_t87" style="position:absolute;left:0;text-align:left;margin-left:194.35pt;margin-top:-105.8pt;width:32pt;height:402pt;rotation:90;z-index:30" adj=",10799"/>
        </w:pict>
      </w:r>
      <w:r w:rsidRPr="00482CAE">
        <w:pict>
          <v:shape id="_x0000_s1056" type="#_x0000_t13" style="position:absolute;left:0;text-align:left;margin-left:181pt;margin-top:21.2pt;width:60pt;height:36.85pt;rotation:90;z-index:31"/>
        </w:pict>
      </w:r>
      <w:r w:rsidR="005C586D">
        <w:rPr>
          <w:b/>
          <w:sz w:val="32"/>
          <w:szCs w:val="32"/>
        </w:rPr>
        <w:t>1.</w:t>
      </w: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  <w:r w:rsidRPr="00482CAE">
        <w:pict>
          <v:shape id="_x0000_s1057" type="#_x0000_t202" style="position:absolute;left:0;text-align:left;margin-left:120.55pt;margin-top:.4pt;width:79pt;height:165pt;z-index:32">
            <v:textbox>
              <w:txbxContent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科室主任根据病情进行审核，签署意见</w:t>
                  </w:r>
                </w:p>
              </w:txbxContent>
            </v:textbox>
          </v:shape>
        </w:pict>
      </w: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482CAE">
      <w:pPr>
        <w:rPr>
          <w:sz w:val="32"/>
          <w:szCs w:val="32"/>
        </w:rPr>
      </w:pPr>
    </w:p>
    <w:p w:rsidR="00482CAE" w:rsidRDefault="005C586D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特殊药品的名称、医保支付标准、限定支付范围、个人自付比例等祥见黄医管字</w:t>
      </w:r>
      <w:r>
        <w:rPr>
          <w:sz w:val="32"/>
          <w:szCs w:val="32"/>
        </w:rPr>
        <w:t>[2017]20</w:t>
      </w:r>
      <w:r>
        <w:rPr>
          <w:rFonts w:hint="eastAsia"/>
          <w:sz w:val="32"/>
          <w:szCs w:val="32"/>
        </w:rPr>
        <w:t>号、黄医管字</w:t>
      </w:r>
      <w:r>
        <w:rPr>
          <w:sz w:val="32"/>
          <w:szCs w:val="32"/>
        </w:rPr>
        <w:t>[2018]15</w:t>
      </w:r>
      <w:r>
        <w:rPr>
          <w:rFonts w:hint="eastAsia"/>
          <w:sz w:val="32"/>
          <w:szCs w:val="32"/>
        </w:rPr>
        <w:t>号（可在黄山医保</w:t>
      </w:r>
      <w:r>
        <w:rPr>
          <w:sz w:val="32"/>
          <w:szCs w:val="32"/>
        </w:rPr>
        <w:t>APP</w:t>
      </w:r>
      <w:r>
        <w:rPr>
          <w:rFonts w:hint="eastAsia"/>
          <w:sz w:val="32"/>
          <w:szCs w:val="32"/>
        </w:rPr>
        <w:t>查询）。</w:t>
      </w:r>
    </w:p>
    <w:p w:rsidR="00482CAE" w:rsidRDefault="005C586D">
      <w:pPr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该审批流程已做进医院</w:t>
      </w:r>
      <w:r>
        <w:rPr>
          <w:color w:val="FF0000"/>
          <w:sz w:val="32"/>
          <w:szCs w:val="32"/>
        </w:rPr>
        <w:t>HIS</w:t>
      </w:r>
      <w:r>
        <w:rPr>
          <w:rFonts w:hint="eastAsia"/>
          <w:color w:val="FF0000"/>
          <w:sz w:val="32"/>
          <w:szCs w:val="32"/>
        </w:rPr>
        <w:t>系统的，可在系统里实现，但要事先告知病人（家属）；</w:t>
      </w:r>
    </w:p>
    <w:p w:rsidR="00482CAE" w:rsidRDefault="005C586D">
      <w:pPr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外购特殊药品，须执行该审批程序。</w:t>
      </w:r>
    </w:p>
    <w:p w:rsidR="00482CAE" w:rsidRDefault="005C586D">
      <w:pPr>
        <w:rPr>
          <w:color w:val="000000" w:themeColor="text1" w:themeShade="8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482CAE" w:rsidRDefault="005C586D">
      <w:pPr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>*</w:t>
      </w:r>
      <w:r>
        <w:rPr>
          <w:rFonts w:hint="eastAsia"/>
          <w:b/>
          <w:sz w:val="48"/>
          <w:szCs w:val="48"/>
        </w:rPr>
        <w:t>门诊慢性病申请办理流程</w:t>
      </w:r>
      <w:r>
        <w:rPr>
          <w:rFonts w:hint="eastAsia"/>
          <w:b/>
          <w:color w:val="FF0000"/>
          <w:sz w:val="48"/>
          <w:szCs w:val="48"/>
        </w:rPr>
        <w:t>（待市局文件）</w:t>
      </w:r>
    </w:p>
    <w:p w:rsidR="00482CAE" w:rsidRDefault="00482CAE">
      <w:pPr>
        <w:rPr>
          <w:sz w:val="32"/>
          <w:szCs w:val="32"/>
        </w:rPr>
      </w:pPr>
    </w:p>
    <w:p w:rsidR="00482CAE" w:rsidRDefault="005C586D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申报时间（一年一次）：每年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</w:rPr>
        <w:t>-11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号（恶性肿瘤放化疗、透析、器官移植抗排异治疗可随时办理）。</w:t>
      </w:r>
    </w:p>
    <w:p w:rsidR="00482CAE" w:rsidRDefault="005C586D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申报时需提交的材料：填写</w:t>
      </w:r>
      <w:r>
        <w:rPr>
          <w:rFonts w:hint="eastAsia"/>
          <w:color w:val="FF0000"/>
          <w:sz w:val="32"/>
          <w:szCs w:val="32"/>
        </w:rPr>
        <w:t>《黄山市基本医疗保险统筹基金支付慢性疾病门诊费用待遇申请表》、</w:t>
      </w:r>
      <w:r>
        <w:rPr>
          <w:rFonts w:hint="eastAsia"/>
          <w:sz w:val="32"/>
          <w:szCs w:val="32"/>
        </w:rPr>
        <w:t>慢性病相关病史资料原件及复印件（原件</w:t>
      </w:r>
      <w:r>
        <w:rPr>
          <w:rFonts w:hint="eastAsia"/>
          <w:color w:val="FF0000"/>
          <w:sz w:val="32"/>
          <w:szCs w:val="32"/>
        </w:rPr>
        <w:t>审核后</w:t>
      </w:r>
      <w:r>
        <w:rPr>
          <w:rFonts w:hint="eastAsia"/>
          <w:sz w:val="32"/>
          <w:szCs w:val="32"/>
        </w:rPr>
        <w:t>带回，复印件留存医保中心），本人近期一寸彩照两张。</w:t>
      </w:r>
    </w:p>
    <w:p w:rsidR="00482CAE" w:rsidRDefault="005C586D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医保中心审批流程：医保中心负责受理材料进行材料初审，后统一组织相关医学专家审核认定，符合条件的由医保中心</w:t>
      </w:r>
      <w:r>
        <w:rPr>
          <w:rFonts w:hint="eastAsia"/>
          <w:color w:val="FF0000"/>
          <w:sz w:val="32"/>
          <w:szCs w:val="32"/>
        </w:rPr>
        <w:t>制发</w:t>
      </w:r>
      <w:r>
        <w:rPr>
          <w:rFonts w:hint="eastAsia"/>
          <w:sz w:val="32"/>
          <w:szCs w:val="32"/>
        </w:rPr>
        <w:t>《慢性疾病门诊医疗证》。</w:t>
      </w:r>
    </w:p>
    <w:p w:rsidR="00482CAE" w:rsidRDefault="005C586D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享受待遇时间：当年审批，次年享受。</w:t>
      </w:r>
    </w:p>
    <w:p w:rsidR="00482CAE" w:rsidRDefault="005C586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82CAE" w:rsidRDefault="005C586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门诊慢性病报销</w:t>
      </w:r>
      <w:r>
        <w:rPr>
          <w:rFonts w:hint="eastAsia"/>
          <w:b/>
          <w:sz w:val="48"/>
          <w:szCs w:val="48"/>
        </w:rPr>
        <w:t>办理流程</w:t>
      </w:r>
    </w:p>
    <w:p w:rsidR="00482CAE" w:rsidRDefault="00482CAE">
      <w:pPr>
        <w:jc w:val="left"/>
        <w:rPr>
          <w:sz w:val="32"/>
          <w:szCs w:val="32"/>
        </w:rPr>
      </w:pPr>
    </w:p>
    <w:p w:rsidR="00482CAE" w:rsidRDefault="005C586D">
      <w:pPr>
        <w:jc w:val="left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报销受理时间：每年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日（恶性肿瘤放化疗、透析、器官移植抗排异治疗可于每月</w:t>
      </w:r>
      <w:r>
        <w:rPr>
          <w:sz w:val="32"/>
          <w:szCs w:val="32"/>
        </w:rPr>
        <w:t>21-25</w:t>
      </w:r>
      <w:r>
        <w:rPr>
          <w:rFonts w:hint="eastAsia"/>
          <w:sz w:val="32"/>
          <w:szCs w:val="32"/>
        </w:rPr>
        <w:t>日将报销材料送至医保中心进行报销）。</w:t>
      </w:r>
    </w:p>
    <w:p w:rsidR="00482CAE" w:rsidRDefault="005C586D">
      <w:pPr>
        <w:jc w:val="left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申请材料：填写《报销受理单》，门诊发票原件（中草药需附明细单）。</w:t>
      </w:r>
    </w:p>
    <w:p w:rsidR="00482CAE" w:rsidRDefault="005C586D">
      <w:pPr>
        <w:jc w:val="left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恶性肿瘤放化疗、透析、器官移植抗排异治疗所发生的门诊医疗费用参照住院管理。</w:t>
      </w:r>
    </w:p>
    <w:p w:rsidR="00482CAE" w:rsidRDefault="005C586D">
      <w:pPr>
        <w:jc w:val="left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其他慢性疾病的，一年度内参保患者应先自付</w:t>
      </w:r>
      <w:r>
        <w:rPr>
          <w:sz w:val="32"/>
          <w:szCs w:val="32"/>
        </w:rPr>
        <w:t>500</w:t>
      </w:r>
      <w:r>
        <w:rPr>
          <w:rFonts w:hint="eastAsia"/>
          <w:sz w:val="32"/>
          <w:szCs w:val="32"/>
        </w:rPr>
        <w:t>元的起付标准，超出标准的费用由基金按</w:t>
      </w:r>
      <w:r>
        <w:rPr>
          <w:sz w:val="32"/>
          <w:szCs w:val="32"/>
        </w:rPr>
        <w:t>70%</w:t>
      </w:r>
      <w:r>
        <w:rPr>
          <w:rFonts w:hint="eastAsia"/>
          <w:sz w:val="32"/>
          <w:szCs w:val="32"/>
        </w:rPr>
        <w:t>的比例支付，年度最高支付金额为</w:t>
      </w:r>
      <w:r>
        <w:rPr>
          <w:sz w:val="32"/>
          <w:szCs w:val="32"/>
        </w:rPr>
        <w:t>3000</w:t>
      </w:r>
      <w:r>
        <w:rPr>
          <w:rFonts w:hint="eastAsia"/>
          <w:sz w:val="32"/>
          <w:szCs w:val="32"/>
        </w:rPr>
        <w:t>元。</w:t>
      </w:r>
    </w:p>
    <w:p w:rsidR="00482CAE" w:rsidRDefault="005C586D">
      <w:pPr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慢性病报销费用拨付至参保患者本人的</w:t>
      </w:r>
      <w:r>
        <w:rPr>
          <w:rFonts w:hint="eastAsia"/>
          <w:color w:val="FF0000"/>
          <w:sz w:val="32"/>
          <w:szCs w:val="32"/>
        </w:rPr>
        <w:t>社会保障卡银行帐号（或本人银行卡）。</w:t>
      </w:r>
    </w:p>
    <w:p w:rsidR="00482CAE" w:rsidRDefault="00482CAE">
      <w:pPr>
        <w:jc w:val="left"/>
        <w:rPr>
          <w:color w:val="FF0000"/>
          <w:sz w:val="32"/>
          <w:szCs w:val="32"/>
        </w:rPr>
      </w:pPr>
    </w:p>
    <w:p w:rsidR="00482CAE" w:rsidRDefault="005C586D">
      <w:pPr>
        <w:jc w:val="center"/>
        <w:rPr>
          <w:b/>
          <w:bCs/>
          <w:sz w:val="44"/>
          <w:szCs w:val="48"/>
        </w:rPr>
      </w:pPr>
      <w:r>
        <w:rPr>
          <w:color w:val="FF0000"/>
          <w:sz w:val="32"/>
          <w:szCs w:val="32"/>
        </w:rPr>
        <w:br w:type="page"/>
      </w:r>
      <w:r>
        <w:rPr>
          <w:rFonts w:cs="宋体" w:hint="eastAsia"/>
          <w:b/>
          <w:bCs/>
          <w:sz w:val="44"/>
          <w:szCs w:val="48"/>
        </w:rPr>
        <w:lastRenderedPageBreak/>
        <w:t>两定单位结算申报材料办理流程</w:t>
      </w:r>
    </w:p>
    <w:p w:rsidR="00482CAE" w:rsidRDefault="00482CAE">
      <w:pPr>
        <w:jc w:val="center"/>
        <w:rPr>
          <w:b/>
          <w:bCs/>
          <w:sz w:val="48"/>
          <w:szCs w:val="48"/>
        </w:rPr>
      </w:pPr>
      <w:r w:rsidRPr="00482CAE">
        <w:rPr>
          <w:rFonts w:cs="Calibri"/>
          <w:szCs w:val="21"/>
        </w:rPr>
        <w:pict>
          <v:rect id="_x0000_s1059" style="position:absolute;left:0;text-align:left;margin-left:93.75pt;margin-top:7.8pt;width:226.5pt;height:38.25pt;z-index:33">
            <v:textbox>
              <w:txbxContent>
                <w:p w:rsidR="00482CAE" w:rsidRDefault="005C586D">
                  <w:pPr>
                    <w:widowControl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sz w:val="32"/>
                      <w:szCs w:val="32"/>
                    </w:rPr>
                    <w:t>两定单位结算申报材料</w:t>
                  </w:r>
                </w:p>
                <w:p w:rsidR="00482CAE" w:rsidRDefault="005C586D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cs="宋体" w:hint="eastAsia"/>
                      <w:b/>
                      <w:bCs/>
                      <w:sz w:val="48"/>
                      <w:szCs w:val="48"/>
                    </w:rPr>
                    <w:t>两定单位结算申报材料</w:t>
                  </w: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482CAE" w:rsidRDefault="00482CAE">
      <w:pPr>
        <w:rPr>
          <w:sz w:val="48"/>
          <w:szCs w:val="48"/>
        </w:rPr>
      </w:pPr>
      <w:r w:rsidRPr="00482CAE">
        <w:rPr>
          <w:rFonts w:cs="Calibri"/>
          <w:szCs w:val="21"/>
        </w:rPr>
        <w:pict>
          <v:shape id="_x0000_s1060" type="#_x0000_t13" style="position:absolute;left:0;text-align:left;margin-left:182.2pt;margin-top:19.95pt;width:33.55pt;height:36.85pt;rotation:90;z-index:34"/>
        </w:pict>
      </w:r>
    </w:p>
    <w:p w:rsidR="00482CAE" w:rsidRDefault="00482CAE">
      <w:pPr>
        <w:rPr>
          <w:sz w:val="48"/>
          <w:szCs w:val="48"/>
        </w:rPr>
      </w:pPr>
    </w:p>
    <w:p w:rsidR="00482CAE" w:rsidRDefault="00482CAE">
      <w:pPr>
        <w:rPr>
          <w:sz w:val="48"/>
          <w:szCs w:val="48"/>
        </w:rPr>
      </w:pPr>
      <w:r w:rsidRPr="00482CAE">
        <w:rPr>
          <w:rFonts w:cs="Calibri"/>
          <w:szCs w:val="21"/>
        </w:rPr>
        <w:pict>
          <v:shape id="_x0000_s1061" type="#_x0000_t87" style="position:absolute;left:0;text-align:left;margin-left:182.85pt;margin-top:-101.4pt;width:31.2pt;height:234pt;rotation:90;z-index:35" adj=",10799"/>
        </w:pict>
      </w:r>
    </w:p>
    <w:p w:rsidR="00482CAE" w:rsidRDefault="00482CAE">
      <w:pPr>
        <w:jc w:val="center"/>
        <w:rPr>
          <w:sz w:val="48"/>
          <w:szCs w:val="48"/>
        </w:rPr>
      </w:pPr>
      <w:r w:rsidRPr="00482CAE">
        <w:rPr>
          <w:rFonts w:cs="Calibri"/>
          <w:szCs w:val="21"/>
        </w:rPr>
        <w:pict>
          <v:rect id="_x0000_s1063" style="position:absolute;left:0;text-align:left;margin-left:252pt;margin-top:7.8pt;width:121.8pt;height:34.95pt;z-index:36">
            <v:textbox>
              <w:txbxContent>
                <w:p w:rsidR="00482CAE" w:rsidRDefault="005C586D">
                  <w:pPr>
                    <w:ind w:firstLineChars="50" w:firstLine="150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定点零售药店</w:t>
                  </w: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482CAE">
                  <w:pPr>
                    <w:rPr>
                      <w:sz w:val="30"/>
                      <w:szCs w:val="30"/>
                    </w:rPr>
                  </w:pPr>
                </w:p>
                <w:p w:rsidR="00482CAE" w:rsidRDefault="005C586D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功</w:t>
                  </w:r>
                </w:p>
              </w:txbxContent>
            </v:textbox>
          </v:rect>
        </w:pict>
      </w:r>
      <w:r w:rsidRPr="00482CAE">
        <w:rPr>
          <w:rFonts w:cs="Calibri"/>
          <w:szCs w:val="21"/>
        </w:rPr>
        <w:pict>
          <v:shape id="_x0000_s1062" type="#_x0000_t202" style="position:absolute;left:0;text-align:left;margin-left:36pt;margin-top:7.8pt;width:108.55pt;height:34.95pt;z-index:37">
            <v:textbox>
              <w:txbxContent>
                <w:p w:rsidR="00482CAE" w:rsidRDefault="005C586D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定点医院</w:t>
                  </w:r>
                </w:p>
              </w:txbxContent>
            </v:textbox>
          </v:shape>
        </w:pict>
      </w:r>
    </w:p>
    <w:p w:rsidR="00482CAE" w:rsidRDefault="00482CAE">
      <w:pPr>
        <w:ind w:firstLineChars="850" w:firstLine="1785"/>
        <w:rPr>
          <w:sz w:val="48"/>
          <w:szCs w:val="48"/>
        </w:rPr>
      </w:pPr>
      <w:r w:rsidRPr="00482CAE">
        <w:rPr>
          <w:rFonts w:cs="Calibri"/>
          <w:szCs w:val="21"/>
        </w:rPr>
        <w:pict>
          <v:shape id="_x0000_s1065" type="#_x0000_t32" style="position:absolute;left:0;text-align:left;margin-left:120.55pt;margin-top:18.9pt;width:24pt;height:46.8pt;z-index:38" o:connectortype="straight">
            <v:stroke endarrow="block"/>
          </v:shape>
        </w:pict>
      </w:r>
      <w:r w:rsidRPr="00482CAE">
        <w:rPr>
          <w:rFonts w:cs="Calibri"/>
          <w:szCs w:val="21"/>
        </w:rPr>
        <w:pict>
          <v:shape id="_x0000_s1064" type="#_x0000_t32" style="position:absolute;left:0;text-align:left;margin-left:27pt;margin-top:18.9pt;width:27pt;height:46.8pt;flip:x;z-index:39" o:connectortype="straight">
            <v:stroke endarrow="block"/>
          </v:shape>
        </w:pict>
      </w:r>
    </w:p>
    <w:p w:rsidR="00482CAE" w:rsidRDefault="00482CAE">
      <w:pPr>
        <w:tabs>
          <w:tab w:val="left" w:pos="6150"/>
        </w:tabs>
        <w:ind w:firstLineChars="850" w:firstLine="1785"/>
      </w:pPr>
      <w:r w:rsidRPr="00482CAE">
        <w:rPr>
          <w:rFonts w:cs="Calibri"/>
        </w:rPr>
        <w:pict>
          <v:shape id="_x0000_s1066" type="#_x0000_t202" style="position:absolute;left:0;text-align:left;margin-left:-17.55pt;margin-top:38.85pt;width:99pt;height:40pt;z-index:40">
            <v:textbox>
              <w:txbxContent>
                <w:p w:rsidR="00482CAE" w:rsidRDefault="005C586D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门诊</w:t>
                  </w:r>
                </w:p>
              </w:txbxContent>
            </v:textbox>
          </v:shape>
        </w:pict>
      </w:r>
      <w:r w:rsidRPr="00482CAE">
        <w:rPr>
          <w:rFonts w:cs="Calibri"/>
        </w:rPr>
        <w:pict>
          <v:shape id="_x0000_s1067" type="#_x0000_t202" style="position:absolute;left:0;text-align:left;margin-left:107.6pt;margin-top:38.85pt;width:99pt;height:40pt;z-index:41">
            <v:textbox>
              <w:txbxContent>
                <w:p w:rsidR="00482CAE" w:rsidRDefault="005C586D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医院</w:t>
                  </w:r>
                </w:p>
              </w:txbxContent>
            </v:textbox>
          </v:shape>
        </w:pict>
      </w:r>
      <w:r w:rsidR="005C586D">
        <w:tab/>
      </w:r>
      <w:r w:rsidR="005C586D">
        <w:rPr>
          <w:rFonts w:cs="宋体" w:hint="eastAsia"/>
          <w:sz w:val="72"/>
          <w:szCs w:val="72"/>
        </w:rPr>
        <w:t>↓</w:t>
      </w:r>
    </w:p>
    <w:p w:rsidR="00482CAE" w:rsidRDefault="00482CAE">
      <w:pPr>
        <w:tabs>
          <w:tab w:val="left" w:pos="6632"/>
        </w:tabs>
        <w:jc w:val="center"/>
        <w:rPr>
          <w:sz w:val="72"/>
          <w:szCs w:val="72"/>
        </w:rPr>
      </w:pPr>
      <w:r w:rsidRPr="00482CAE">
        <w:rPr>
          <w:rFonts w:cs="Calibri"/>
          <w:szCs w:val="21"/>
        </w:rPr>
        <w:pict>
          <v:shape id="_x0000_s1068" type="#_x0000_t202" style="position:absolute;left:0;text-align:left;margin-left:238.5pt;margin-top:1.05pt;width:189pt;height:39pt;z-index:42">
            <v:textbox>
              <w:txbxContent>
                <w:p w:rsidR="00482CAE" w:rsidRDefault="005C586D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cs="宋体" w:hint="eastAsia"/>
                      <w:sz w:val="30"/>
                      <w:szCs w:val="30"/>
                    </w:rPr>
                    <w:t>定点零售药店结算申报表表</w:t>
                  </w:r>
                </w:p>
              </w:txbxContent>
            </v:textbox>
          </v:shape>
        </w:pict>
      </w:r>
    </w:p>
    <w:p w:rsidR="00482CAE" w:rsidRDefault="005C586D">
      <w:pPr>
        <w:tabs>
          <w:tab w:val="left" w:pos="300"/>
          <w:tab w:val="left" w:pos="720"/>
          <w:tab w:val="left" w:pos="960"/>
          <w:tab w:val="left" w:pos="2925"/>
          <w:tab w:val="center" w:pos="4153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rFonts w:cs="宋体" w:hint="eastAsia"/>
          <w:sz w:val="72"/>
          <w:szCs w:val="72"/>
        </w:rPr>
        <w:t>↓↓</w:t>
      </w:r>
      <w:r>
        <w:rPr>
          <w:sz w:val="48"/>
          <w:szCs w:val="48"/>
        </w:rPr>
        <w:tab/>
      </w:r>
    </w:p>
    <w:p w:rsidR="00482CAE" w:rsidRDefault="00482CAE">
      <w:pPr>
        <w:tabs>
          <w:tab w:val="left" w:pos="5040"/>
        </w:tabs>
        <w:rPr>
          <w:sz w:val="28"/>
          <w:szCs w:val="28"/>
        </w:rPr>
      </w:pPr>
      <w:r w:rsidRPr="00482CAE">
        <w:rPr>
          <w:rFonts w:cs="Calibri"/>
          <w:szCs w:val="21"/>
        </w:rPr>
        <w:pict>
          <v:shape id="_x0000_s1070" type="#_x0000_t202" style="position:absolute;left:0;text-align:left;margin-left:13.4pt;margin-top:6.45pt;width:117pt;height:39pt;z-index:43">
            <v:textbox>
              <w:txbxContent>
                <w:p w:rsidR="00482CAE" w:rsidRDefault="005C586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住院结算申报表</w:t>
                  </w:r>
                </w:p>
              </w:txbxContent>
            </v:textbox>
          </v:shape>
        </w:pict>
      </w:r>
      <w:r w:rsidRPr="00482CAE">
        <w:rPr>
          <w:rFonts w:cs="Calibri"/>
          <w:szCs w:val="21"/>
        </w:rPr>
        <w:pict>
          <v:shape id="_x0000_s1069" type="#_x0000_t202" style="position:absolute;left:0;text-align:left;margin-left:-42.65pt;margin-top:6.45pt;width:136.4pt;height:39pt;z-index:44">
            <v:textbox>
              <w:txbxContent>
                <w:p w:rsidR="00482CAE" w:rsidRDefault="005C586D">
                  <w:pPr>
                    <w:tabs>
                      <w:tab w:val="left" w:pos="25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普通门诊结算申报表</w:t>
                  </w:r>
                </w:p>
              </w:txbxContent>
            </v:textbox>
            <w10:wrap type="square"/>
          </v:shape>
        </w:pict>
      </w:r>
      <w:r w:rsidR="005C586D">
        <w:rPr>
          <w:sz w:val="48"/>
          <w:szCs w:val="48"/>
        </w:rPr>
        <w:tab/>
      </w:r>
    </w:p>
    <w:p w:rsidR="00482CAE" w:rsidRDefault="005C586D">
      <w:pPr>
        <w:tabs>
          <w:tab w:val="left" w:pos="2514"/>
        </w:tabs>
        <w:rPr>
          <w:rFonts w:ascii="宋体"/>
          <w:sz w:val="18"/>
          <w:szCs w:val="18"/>
        </w:rPr>
      </w:pPr>
      <w:r>
        <w:rPr>
          <w:sz w:val="72"/>
          <w:szCs w:val="72"/>
        </w:rPr>
        <w:tab/>
      </w:r>
    </w:p>
    <w:p w:rsidR="00482CAE" w:rsidRDefault="00482CAE">
      <w:pPr>
        <w:tabs>
          <w:tab w:val="center" w:pos="3326"/>
        </w:tabs>
        <w:rPr>
          <w:rFonts w:ascii="宋体"/>
          <w:sz w:val="18"/>
          <w:szCs w:val="18"/>
        </w:rPr>
      </w:pPr>
    </w:p>
    <w:p w:rsidR="00482CAE" w:rsidRDefault="00482CAE">
      <w:pPr>
        <w:tabs>
          <w:tab w:val="left" w:pos="2514"/>
        </w:tabs>
        <w:rPr>
          <w:sz w:val="18"/>
          <w:szCs w:val="18"/>
        </w:rPr>
      </w:pPr>
      <w:r w:rsidRPr="00482CAE">
        <w:rPr>
          <w:rFonts w:cs="Calibri"/>
          <w:szCs w:val="21"/>
        </w:rPr>
        <w:pict>
          <v:shape id="_x0000_s1082" type="#_x0000_t32" style="position:absolute;left:0;text-align:left;margin-left:93.75pt;margin-top:2.1pt;width:54pt;height:46.8pt;flip:x;z-index:45" o:connectortype="straight">
            <v:stroke endarrow="block"/>
          </v:shape>
        </w:pict>
      </w:r>
      <w:r w:rsidRPr="00482CAE">
        <w:rPr>
          <w:rFonts w:cs="Calibri"/>
          <w:szCs w:val="21"/>
        </w:rPr>
        <w:pict>
          <v:shape id="_x0000_s1083" type="#_x0000_t32" style="position:absolute;left:0;text-align:left;margin-left:234pt;margin-top:2.1pt;width:63pt;height:46.8pt;z-index:46" o:connectortype="straight">
            <v:stroke endarrow="block"/>
          </v:shape>
        </w:pict>
      </w:r>
      <w:r w:rsidR="005C586D">
        <w:rPr>
          <w:sz w:val="28"/>
          <w:szCs w:val="28"/>
        </w:rPr>
        <w:tab/>
      </w:r>
    </w:p>
    <w:p w:rsidR="00482CAE" w:rsidRDefault="00482CAE">
      <w:pPr>
        <w:rPr>
          <w:sz w:val="18"/>
          <w:szCs w:val="18"/>
        </w:rPr>
      </w:pPr>
    </w:p>
    <w:p w:rsidR="00482CAE" w:rsidRDefault="00482CAE">
      <w:pPr>
        <w:tabs>
          <w:tab w:val="left" w:pos="2880"/>
        </w:tabs>
        <w:rPr>
          <w:sz w:val="52"/>
          <w:szCs w:val="52"/>
        </w:rPr>
      </w:pPr>
      <w:r w:rsidRPr="00482CAE">
        <w:rPr>
          <w:rFonts w:cs="Calibri"/>
          <w:szCs w:val="21"/>
        </w:rPr>
        <w:pict>
          <v:shape id="_x0000_s1074" type="#_x0000_t202" style="position:absolute;left:0;text-align:left;margin-left:279.45pt;margin-top:26.85pt;width:81.9pt;height:39pt;z-index:47">
            <v:textbox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分娩住院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71" type="#_x0000_t202" style="position:absolute;left:0;text-align:left;margin-left:18pt;margin-top:31.2pt;width:89.6pt;height:39pt;z-index:48">
            <v:textbox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普通住院</w:t>
                  </w:r>
                </w:p>
              </w:txbxContent>
            </v:textbox>
            <w10:wrap type="square"/>
          </v:shape>
        </w:pict>
      </w:r>
      <w:r w:rsidR="005C586D">
        <w:rPr>
          <w:sz w:val="18"/>
          <w:szCs w:val="18"/>
        </w:rPr>
        <w:tab/>
      </w:r>
    </w:p>
    <w:p w:rsidR="00482CAE" w:rsidRDefault="00482CAE">
      <w:pPr>
        <w:widowControl/>
        <w:ind w:firstLineChars="500" w:firstLine="1050"/>
        <w:jc w:val="left"/>
        <w:rPr>
          <w:sz w:val="32"/>
          <w:szCs w:val="32"/>
        </w:rPr>
      </w:pPr>
      <w:r w:rsidRPr="00482CAE">
        <w:rPr>
          <w:rFonts w:cs="Calibri"/>
          <w:szCs w:val="21"/>
        </w:rPr>
        <w:pict>
          <v:shape id="_x0000_s1077" type="#_x0000_t87" style="position:absolute;left:0;text-align:left;margin-left:190.9pt;margin-top:-78.1pt;width:31.2pt;height:234.2pt;rotation:90;z-index:49" adj=",10799"/>
        </w:pict>
      </w:r>
      <w:r w:rsidRPr="00482CAE">
        <w:rPr>
          <w:rFonts w:cs="Calibri"/>
          <w:szCs w:val="21"/>
        </w:rPr>
        <w:pict>
          <v:shape id="_x0000_s1075" type="#_x0000_t87" style="position:absolute;left:0;text-align:left;margin-left:-93pt;margin-top:-54pt;width:31.2pt;height:194.4pt;rotation:90;z-index:50" adj=",10799"/>
        </w:pict>
      </w:r>
    </w:p>
    <w:p w:rsidR="00482CAE" w:rsidRDefault="005C586D">
      <w:pPr>
        <w:widowControl/>
        <w:tabs>
          <w:tab w:val="left" w:pos="6015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482CAE" w:rsidRDefault="00482CAE">
      <w:pPr>
        <w:widowControl/>
        <w:jc w:val="left"/>
        <w:rPr>
          <w:sz w:val="32"/>
          <w:szCs w:val="32"/>
        </w:rPr>
      </w:pPr>
      <w:r w:rsidRPr="00482CAE">
        <w:rPr>
          <w:rFonts w:cs="Calibri"/>
          <w:szCs w:val="21"/>
        </w:rPr>
        <w:pict>
          <v:shape id="_x0000_s1088" type="#_x0000_t202" style="position:absolute;margin-left:36.6pt;margin-top:4.8pt;width:30pt;height:174.6pt;z-index:51">
            <v:textbox style="layout-flow:vertical-ideographic">
              <w:txbxContent>
                <w:p w:rsidR="00482CAE" w:rsidRDefault="005C586D">
                  <w:r>
                    <w:rPr>
                      <w:rFonts w:cs="宋体" w:hint="eastAsia"/>
                    </w:rPr>
                    <w:t>使用特殊药品提供特殊药品审批表</w:t>
                  </w:r>
                </w:p>
              </w:txbxContent>
            </v:textbox>
          </v:shape>
        </w:pict>
      </w:r>
      <w:r w:rsidRPr="00482CAE">
        <w:rPr>
          <w:rFonts w:cs="Calibri"/>
          <w:szCs w:val="21"/>
        </w:rPr>
        <w:pict>
          <v:shape id="_x0000_s1087" type="#_x0000_t202" style="position:absolute;margin-left:0;margin-top:4.8pt;width:27.55pt;height:174.6pt;z-index:52">
            <v:textbox style="layout-flow:vertical-ideographic">
              <w:txbxContent>
                <w:p w:rsidR="00482CAE" w:rsidRDefault="005C586D">
                  <w:r>
                    <w:rPr>
                      <w:rFonts w:hint="eastAsia"/>
                    </w:rPr>
                    <w:t>意外伤害住院需提供意外伤害调查表</w:t>
                  </w:r>
                </w:p>
              </w:txbxContent>
            </v:textbox>
          </v:shape>
        </w:pict>
      </w:r>
      <w:r w:rsidRPr="00482CAE">
        <w:rPr>
          <w:rFonts w:cs="Calibri"/>
          <w:szCs w:val="21"/>
        </w:rPr>
        <w:pict>
          <v:shape id="_x0000_s1073" type="#_x0000_t202" style="position:absolute;margin-left:-47.55pt;margin-top:4.2pt;width:46.35pt;height:127.8pt;z-index:53">
            <v:textbox style="layout-flow:vertical-ideographic;mso-fit-shape-to-text:t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发票原件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76" type="#_x0000_t202" style="position:absolute;margin-left:61.25pt;margin-top:4.8pt;width:46.35pt;height:127.8pt;z-index:54">
            <v:textbox style="layout-flow:vertical-ideographic;mso-fit-shape-to-text:t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医疗费用结算单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78" type="#_x0000_t202" style="position:absolute;margin-left:211.65pt;margin-top:0;width:46.35pt;height:117pt;z-index:55">
            <v:textbox style="layout-flow:vertical-ideographic;mso-fit-shape-to-text:t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发票原件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79" type="#_x0000_t202" style="position:absolute;margin-left:265.2pt;margin-top:0;width:45pt;height:117pt;z-index:56">
            <v:textbox style="layout-flow:vertical-ideographic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出院地记录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80" type="#_x0000_t202" style="position:absolute;margin-left:315pt;margin-top:0;width:46.35pt;height:120.6pt;z-index:57">
            <v:textbox style="layout-flow:vertical-ideographic;mso-fit-shape-to-text:t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医疗费用结算单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81" type="#_x0000_t202" style="position:absolute;margin-left:373.8pt;margin-top:0;width:37.8pt;height:120.6pt;z-index:58">
            <v:textbox style="layout-flow:vertical-ideographic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身份证复印件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84" type="#_x0000_t202" style="position:absolute;margin-left:423pt;margin-top:0;width:45pt;height:120.6pt;z-index:59">
            <v:textbox style="layout-flow:vertical-ideographic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准生证复印件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shape id="_x0000_s1072" type="#_x0000_t202" style="position:absolute;margin-left:13.85pt;margin-top:4.8pt;width:40.15pt;height:124.8pt;z-index:60">
            <v:textbox style="layout-flow:vertical-ideographic">
              <w:txbxContent>
                <w:p w:rsidR="00482CAE" w:rsidRDefault="005C586D">
                  <w:pPr>
                    <w:widowControl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出院记录</w:t>
                  </w:r>
                </w:p>
              </w:txbxContent>
            </v:textbox>
            <w10:wrap type="square"/>
          </v:shape>
        </w:pict>
      </w:r>
      <w:r w:rsidRPr="00482CAE">
        <w:rPr>
          <w:rFonts w:cs="Calibri"/>
          <w:szCs w:val="21"/>
        </w:rPr>
        <w:pict>
          <v:rect id="_x0000_s1086" style="position:absolute;margin-left:-325.2pt;margin-top:12pt;width:42.45pt;height:127.8pt;z-index:61">
            <v:textbox>
              <w:txbxContent>
                <w:p w:rsidR="00482CAE" w:rsidRDefault="005C586D">
                  <w:pPr>
                    <w:jc w:val="center"/>
                    <w:rPr>
                      <w:rFonts w:cs="宋体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特殊药品</w:t>
                  </w:r>
                </w:p>
              </w:txbxContent>
            </v:textbox>
          </v:rect>
        </w:pict>
      </w:r>
      <w:r w:rsidRPr="00482CAE">
        <w:rPr>
          <w:rFonts w:cs="Calibri"/>
          <w:szCs w:val="21"/>
        </w:rPr>
        <w:pict>
          <v:rect id="_x0000_s1085" style="position:absolute;margin-left:-465.45pt;margin-top:4.8pt;width:41.25pt;height:127.8pt;z-index:62">
            <v:textbox>
              <w:txbxContent>
                <w:p w:rsidR="00482CAE" w:rsidRDefault="005C586D">
                  <w:pPr>
                    <w:widowControl/>
                    <w:jc w:val="center"/>
                    <w:rPr>
                      <w:rFonts w:cs="宋体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意外伤害</w:t>
                  </w:r>
                </w:p>
              </w:txbxContent>
            </v:textbox>
          </v:rect>
        </w:pict>
      </w:r>
      <w:r w:rsidR="005C586D">
        <w:rPr>
          <w:sz w:val="32"/>
          <w:szCs w:val="32"/>
        </w:rPr>
        <w:tab/>
      </w:r>
      <w:r w:rsidR="005C586D">
        <w:rPr>
          <w:sz w:val="32"/>
          <w:szCs w:val="32"/>
        </w:rPr>
        <w:tab/>
      </w:r>
      <w:r w:rsidR="005C586D">
        <w:rPr>
          <w:sz w:val="32"/>
          <w:szCs w:val="32"/>
        </w:rPr>
        <w:tab/>
      </w:r>
      <w:r w:rsidR="005C586D">
        <w:rPr>
          <w:sz w:val="32"/>
          <w:szCs w:val="32"/>
        </w:rPr>
        <w:tab/>
      </w:r>
      <w:r w:rsidR="005C586D">
        <w:rPr>
          <w:sz w:val="32"/>
          <w:szCs w:val="32"/>
        </w:rPr>
        <w:br w:type="page"/>
      </w:r>
    </w:p>
    <w:p w:rsidR="00482CAE" w:rsidRDefault="005C586D">
      <w:pPr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r>
        <w:rPr>
          <w:rFonts w:asciiTheme="minorEastAsia" w:eastAsiaTheme="minorEastAsia" w:hAnsiTheme="minorEastAsia" w:cs="宋体" w:hint="eastAsia"/>
          <w:b/>
          <w:bCs/>
          <w:sz w:val="48"/>
          <w:szCs w:val="48"/>
        </w:rPr>
        <w:t>两定单位申报结算材料流程</w:t>
      </w:r>
    </w:p>
    <w:p w:rsidR="00482CAE" w:rsidRDefault="00482CAE">
      <w:pPr>
        <w:rPr>
          <w:rFonts w:ascii="仿宋" w:eastAsia="仿宋" w:hAnsi="仿宋"/>
          <w:b/>
          <w:bCs/>
          <w:sz w:val="30"/>
          <w:szCs w:val="30"/>
        </w:rPr>
      </w:pPr>
    </w:p>
    <w:p w:rsidR="00482CAE" w:rsidRDefault="005C586D">
      <w:pPr>
        <w:numPr>
          <w:ilvl w:val="0"/>
          <w:numId w:val="2"/>
        </w:num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两定单位每月</w:t>
      </w:r>
      <w:r>
        <w:rPr>
          <w:rFonts w:asciiTheme="minorEastAsia" w:eastAsiaTheme="minorEastAsia" w:hAnsiTheme="minorEastAsia"/>
          <w:sz w:val="32"/>
          <w:szCs w:val="32"/>
        </w:rPr>
        <w:t>5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号之前将上月结算材料提交医保中心。</w:t>
      </w:r>
    </w:p>
    <w:p w:rsidR="00482CAE" w:rsidRDefault="005C586D">
      <w:pPr>
        <w:numPr>
          <w:ilvl w:val="0"/>
          <w:numId w:val="2"/>
        </w:num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定点医院普通门诊：普通门诊申报表。</w:t>
      </w:r>
    </w:p>
    <w:p w:rsidR="00482CAE" w:rsidRDefault="005C586D">
      <w:pPr>
        <w:numPr>
          <w:ilvl w:val="0"/>
          <w:numId w:val="2"/>
        </w:num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定点医院住院：住院申报表，</w:t>
      </w:r>
      <w:r>
        <w:rPr>
          <w:rFonts w:asciiTheme="minorEastAsia" w:eastAsiaTheme="minorEastAsia" w:hAnsiTheme="minorEastAsia"/>
          <w:sz w:val="32"/>
          <w:szCs w:val="32"/>
        </w:rPr>
        <w:t>1.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普通住院：①发票原件，②出院记录，③医疗费用结算单，意外伤害住院需提供意外伤害登记表，使用特殊药品需提供特殊药品使用申请表。</w:t>
      </w:r>
      <w:r>
        <w:rPr>
          <w:rFonts w:asciiTheme="minorEastAsia" w:eastAsiaTheme="minorEastAsia" w:hAnsiTheme="minorEastAsia"/>
          <w:sz w:val="32"/>
          <w:szCs w:val="32"/>
        </w:rPr>
        <w:t>2.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分娩住院：①发票原件，②出院记录，③医疗费用结算单，④身份证复印件，⑤准生证复印件。</w:t>
      </w:r>
    </w:p>
    <w:p w:rsidR="00482CAE" w:rsidRDefault="005C586D">
      <w:pPr>
        <w:rPr>
          <w:color w:val="FF0000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4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、定点零售药店：定点零售药店申报表。</w:t>
      </w:r>
      <w:bookmarkStart w:id="0" w:name="_GoBack"/>
      <w:bookmarkEnd w:id="0"/>
    </w:p>
    <w:sectPr w:rsidR="00482CAE" w:rsidSect="0048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6D" w:rsidRDefault="005C586D" w:rsidP="004B227E">
      <w:r>
        <w:separator/>
      </w:r>
    </w:p>
  </w:endnote>
  <w:endnote w:type="continuationSeparator" w:id="1">
    <w:p w:rsidR="005C586D" w:rsidRDefault="005C586D" w:rsidP="004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6D" w:rsidRDefault="005C586D" w:rsidP="004B227E">
      <w:r>
        <w:separator/>
      </w:r>
    </w:p>
  </w:footnote>
  <w:footnote w:type="continuationSeparator" w:id="1">
    <w:p w:rsidR="005C586D" w:rsidRDefault="005C586D" w:rsidP="004B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686"/>
    <w:multiLevelType w:val="multilevel"/>
    <w:tmpl w:val="0E2136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7947A7"/>
    <w:multiLevelType w:val="multilevel"/>
    <w:tmpl w:val="347947A7"/>
    <w:lvl w:ilvl="0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25F"/>
    <w:rsid w:val="00022E92"/>
    <w:rsid w:val="000316AA"/>
    <w:rsid w:val="00032018"/>
    <w:rsid w:val="000623A8"/>
    <w:rsid w:val="000B2F45"/>
    <w:rsid w:val="000B2FE4"/>
    <w:rsid w:val="000B33D2"/>
    <w:rsid w:val="000E026C"/>
    <w:rsid w:val="000F63C6"/>
    <w:rsid w:val="00145D24"/>
    <w:rsid w:val="00163142"/>
    <w:rsid w:val="00171E7D"/>
    <w:rsid w:val="00187CE5"/>
    <w:rsid w:val="00190E24"/>
    <w:rsid w:val="001E522C"/>
    <w:rsid w:val="002545D6"/>
    <w:rsid w:val="00255A82"/>
    <w:rsid w:val="002572CA"/>
    <w:rsid w:val="00281AC4"/>
    <w:rsid w:val="002A2059"/>
    <w:rsid w:val="002C0661"/>
    <w:rsid w:val="002F26BD"/>
    <w:rsid w:val="002F7F4E"/>
    <w:rsid w:val="00314161"/>
    <w:rsid w:val="00344C10"/>
    <w:rsid w:val="00351338"/>
    <w:rsid w:val="00356775"/>
    <w:rsid w:val="003B32D4"/>
    <w:rsid w:val="00421DB1"/>
    <w:rsid w:val="00435943"/>
    <w:rsid w:val="004754DB"/>
    <w:rsid w:val="00482CAE"/>
    <w:rsid w:val="004B227E"/>
    <w:rsid w:val="004C5D9F"/>
    <w:rsid w:val="004D0C46"/>
    <w:rsid w:val="00516F99"/>
    <w:rsid w:val="00531380"/>
    <w:rsid w:val="0055609A"/>
    <w:rsid w:val="005726D9"/>
    <w:rsid w:val="00577A7D"/>
    <w:rsid w:val="00583B77"/>
    <w:rsid w:val="00593CB2"/>
    <w:rsid w:val="005A182D"/>
    <w:rsid w:val="005B5821"/>
    <w:rsid w:val="005C586D"/>
    <w:rsid w:val="005C5CED"/>
    <w:rsid w:val="005C7EEA"/>
    <w:rsid w:val="005F6814"/>
    <w:rsid w:val="0062484B"/>
    <w:rsid w:val="00650499"/>
    <w:rsid w:val="00670CF3"/>
    <w:rsid w:val="006B11C7"/>
    <w:rsid w:val="006D189D"/>
    <w:rsid w:val="006D289C"/>
    <w:rsid w:val="006D6C05"/>
    <w:rsid w:val="006F16DE"/>
    <w:rsid w:val="006F5195"/>
    <w:rsid w:val="00702109"/>
    <w:rsid w:val="00724953"/>
    <w:rsid w:val="00744BE0"/>
    <w:rsid w:val="0076001A"/>
    <w:rsid w:val="00767BF9"/>
    <w:rsid w:val="007F58FB"/>
    <w:rsid w:val="00802163"/>
    <w:rsid w:val="008130A2"/>
    <w:rsid w:val="00813D87"/>
    <w:rsid w:val="00881A44"/>
    <w:rsid w:val="008C01CE"/>
    <w:rsid w:val="008C01DC"/>
    <w:rsid w:val="008C03C1"/>
    <w:rsid w:val="008D344B"/>
    <w:rsid w:val="008D4EE3"/>
    <w:rsid w:val="008E4780"/>
    <w:rsid w:val="00906ABF"/>
    <w:rsid w:val="00907414"/>
    <w:rsid w:val="009274A2"/>
    <w:rsid w:val="0093459A"/>
    <w:rsid w:val="00936BB9"/>
    <w:rsid w:val="00942C4D"/>
    <w:rsid w:val="00990A93"/>
    <w:rsid w:val="009915FD"/>
    <w:rsid w:val="009A5776"/>
    <w:rsid w:val="009D58FA"/>
    <w:rsid w:val="009D608F"/>
    <w:rsid w:val="009F21DA"/>
    <w:rsid w:val="009F5B9F"/>
    <w:rsid w:val="009F6B2A"/>
    <w:rsid w:val="00A5040C"/>
    <w:rsid w:val="00AB4BBD"/>
    <w:rsid w:val="00AD4A93"/>
    <w:rsid w:val="00AF057B"/>
    <w:rsid w:val="00B502BF"/>
    <w:rsid w:val="00B51B28"/>
    <w:rsid w:val="00B52B5C"/>
    <w:rsid w:val="00B811FD"/>
    <w:rsid w:val="00B82BD2"/>
    <w:rsid w:val="00BB7A2C"/>
    <w:rsid w:val="00BC1E9D"/>
    <w:rsid w:val="00BF1471"/>
    <w:rsid w:val="00BF3C3A"/>
    <w:rsid w:val="00C33C4D"/>
    <w:rsid w:val="00C345D0"/>
    <w:rsid w:val="00C71656"/>
    <w:rsid w:val="00C75012"/>
    <w:rsid w:val="00C967ED"/>
    <w:rsid w:val="00CA53EA"/>
    <w:rsid w:val="00D00E97"/>
    <w:rsid w:val="00D1010F"/>
    <w:rsid w:val="00D1725F"/>
    <w:rsid w:val="00D44D58"/>
    <w:rsid w:val="00D7018B"/>
    <w:rsid w:val="00D72F98"/>
    <w:rsid w:val="00DA38B6"/>
    <w:rsid w:val="00DA6F41"/>
    <w:rsid w:val="00DB25A2"/>
    <w:rsid w:val="00DC2E8E"/>
    <w:rsid w:val="00DF5FA3"/>
    <w:rsid w:val="00E0738E"/>
    <w:rsid w:val="00E50832"/>
    <w:rsid w:val="00E55A1E"/>
    <w:rsid w:val="00E65340"/>
    <w:rsid w:val="00E73EAA"/>
    <w:rsid w:val="00E840EA"/>
    <w:rsid w:val="00E95C56"/>
    <w:rsid w:val="00EB480B"/>
    <w:rsid w:val="00EB6D3D"/>
    <w:rsid w:val="00ED5D63"/>
    <w:rsid w:val="00EF0D7A"/>
    <w:rsid w:val="00F13E6F"/>
    <w:rsid w:val="00F14D88"/>
    <w:rsid w:val="00F24C10"/>
    <w:rsid w:val="00F34FDD"/>
    <w:rsid w:val="00F42D33"/>
    <w:rsid w:val="00F901A7"/>
    <w:rsid w:val="00F92994"/>
    <w:rsid w:val="00FB3657"/>
    <w:rsid w:val="00FB73C2"/>
    <w:rsid w:val="00FC67EE"/>
    <w:rsid w:val="00FD2E11"/>
    <w:rsid w:val="00FE66C7"/>
    <w:rsid w:val="4B04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  <o:rules v:ext="edit">
        <o:r id="V:Rule16" type="connector" idref="#_x0000_s1029"/>
        <o:r id="V:Rule17" type="connector" idref="#_x0000_s1032"/>
        <o:r id="V:Rule18" type="connector" idref="#_x0000_s1031"/>
        <o:r id="V:Rule19" type="connector" idref="#_x0000_s1046"/>
        <o:r id="V:Rule20" type="connector" idref="#_x0000_s1045"/>
        <o:r id="V:Rule21" type="connector" idref="#_x0000_s1033"/>
        <o:r id="V:Rule22" type="connector" idref="#_x0000_s1044"/>
        <o:r id="V:Rule23" type="connector" idref="#_x0000_s1051"/>
        <o:r id="V:Rule24" type="connector" idref="#_x0000_s1053"/>
        <o:r id="V:Rule25" type="connector" idref="#_x0000_s1065"/>
        <o:r id="V:Rule26" type="connector" idref="#_x0000_s1064"/>
        <o:r id="V:Rule27" type="connector" idref="#_x0000_s1047"/>
        <o:r id="V:Rule28" type="connector" idref="#_x0000_s1049"/>
        <o:r id="V:Rule29" type="connector" idref="#_x0000_s1082"/>
        <o:r id="V:Rule30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82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8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48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82CA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82CAE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82CA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82C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1"/>
    <customShpInfo spid="_x0000_s1040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9"/>
    <customShpInfo spid="_x0000_s1060"/>
    <customShpInfo spid="_x0000_s1061"/>
    <customShpInfo spid="_x0000_s1063"/>
    <customShpInfo spid="_x0000_s1062"/>
    <customShpInfo spid="_x0000_s1065"/>
    <customShpInfo spid="_x0000_s1064"/>
    <customShpInfo spid="_x0000_s1066"/>
    <customShpInfo spid="_x0000_s1067"/>
    <customShpInfo spid="_x0000_s1068"/>
    <customShpInfo spid="_x0000_s1070"/>
    <customShpInfo spid="_x0000_s1069"/>
    <customShpInfo spid="_x0000_s1082"/>
    <customShpInfo spid="_x0000_s1083"/>
    <customShpInfo spid="_x0000_s1074"/>
    <customShpInfo spid="_x0000_s1071"/>
    <customShpInfo spid="_x0000_s1077"/>
    <customShpInfo spid="_x0000_s1075"/>
    <customShpInfo spid="_x0000_s1088"/>
    <customShpInfo spid="_x0000_s1087"/>
    <customShpInfo spid="_x0000_s1073"/>
    <customShpInfo spid="_x0000_s1076"/>
    <customShpInfo spid="_x0000_s1078"/>
    <customShpInfo spid="_x0000_s1079"/>
    <customShpInfo spid="_x0000_s1080"/>
    <customShpInfo spid="_x0000_s1081"/>
    <customShpInfo spid="_x0000_s1084"/>
    <customShpInfo spid="_x0000_s1072"/>
    <customShpInfo spid="_x0000_s1086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61</cp:revision>
  <dcterms:created xsi:type="dcterms:W3CDTF">2019-06-28T00:54:00Z</dcterms:created>
  <dcterms:modified xsi:type="dcterms:W3CDTF">2020-07-15T02:34:00Z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